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</w:pPr>
    </w:p>
    <w:tbl>
      <w:tblPr>
        <w:tblStyle w:val="5"/>
        <w:tblpPr w:leftFromText="180" w:rightFromText="180" w:vertAnchor="text" w:horzAnchor="margin" w:tblpY="-965"/>
        <w:tblW w:w="994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0"/>
        <w:gridCol w:w="53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4560" w:type="dxa"/>
          </w:tcPr>
          <w:p/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JUDEŢUL BIHOR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COMUNA NOJORID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NOJORID nr.105 I, Cod poştal 417345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 fiscal: 4454999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0259/393-194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Fax: 0259/393-192</w:t>
            </w:r>
          </w:p>
          <w:p>
            <w:pPr>
              <w:pStyle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  <w:r>
              <w:fldChar w:fldCharType="begin"/>
            </w:r>
            <w:r>
              <w:instrText xml:space="preserve"> HYPERLINK "mailto:primaria.nojorid@cjbihor.ro" </w:instrText>
            </w:r>
            <w:r>
              <w:fldChar w:fldCharType="separate"/>
            </w:r>
            <w:r>
              <w:rPr>
                <w:rStyle w:val="4"/>
                <w:sz w:val="22"/>
                <w:szCs w:val="22"/>
              </w:rPr>
              <w:t>primaria.nojorid@cjbihor.ro</w:t>
            </w:r>
            <w:r>
              <w:rPr>
                <w:rStyle w:val="4"/>
                <w:sz w:val="22"/>
                <w:szCs w:val="22"/>
              </w:rPr>
              <w:fldChar w:fldCharType="end"/>
            </w:r>
          </w:p>
        </w:tc>
        <w:tc>
          <w:tcPr>
            <w:tcW w:w="5389" w:type="dxa"/>
          </w:tcPr>
          <w:p>
            <w:pPr>
              <w:pStyle w:val="2"/>
              <w:rPr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2952750" cy="2066290"/>
                  <wp:effectExtent l="0" t="0" r="0" b="10160"/>
                  <wp:docPr id="1" name="Picture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0" cy="2066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304800" cy="304800"/>
                  <wp:effectExtent l="0" t="0" r="0" b="0"/>
                  <wp:docPr id="5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inline distT="0" distB="0" distL="114300" distR="114300">
                  <wp:extent cx="304800" cy="304800"/>
                  <wp:effectExtent l="0" t="0" r="0" b="0"/>
                  <wp:docPr id="6" name="Picture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lang w:val="en-US"/>
        </w:rPr>
      </w:pPr>
    </w:p>
    <w:p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      </w:t>
      </w:r>
    </w:p>
    <w:p>
      <w:pPr>
        <w:rPr>
          <w:rFonts w:hint="default" w:ascii="Times New Roman" w:hAnsi="Times New Roman" w:cs="Times New Roman"/>
          <w:lang w:val="en-US"/>
        </w:rPr>
      </w:pPr>
    </w:p>
    <w:p>
      <w:pPr>
        <w:pStyle w:val="2"/>
        <w:rPr>
          <w:rFonts w:hint="default" w:ascii="Times New Roman" w:hAnsi="Times New Roman" w:cs="Times New Roman"/>
          <w:lang w:val="en-US"/>
        </w:rPr>
      </w:pPr>
    </w:p>
    <w:p>
      <w:pPr>
        <w:pStyle w:val="2"/>
        <w:rPr>
          <w:rFonts w:hint="default" w:ascii="Times New Roman" w:hAnsi="Times New Roman" w:cs="Times New Roman"/>
          <w:lang w:val="en-US"/>
        </w:rPr>
      </w:pPr>
    </w:p>
    <w:p>
      <w:pPr>
        <w:rPr>
          <w:rFonts w:hint="default" w:ascii="Times New Roman" w:hAnsi="Times New Roman" w:cs="Times New Roman"/>
          <w:sz w:val="36"/>
          <w:szCs w:val="36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                         </w:t>
      </w:r>
      <w:r>
        <w:rPr>
          <w:rFonts w:hint="default" w:ascii="Times New Roman" w:hAnsi="Times New Roman" w:cs="Times New Roman"/>
          <w:sz w:val="36"/>
          <w:szCs w:val="36"/>
          <w:lang w:val="en-US"/>
        </w:rPr>
        <w:t xml:space="preserve">     ANUNT</w:t>
      </w:r>
    </w:p>
    <w:p>
      <w:pPr>
        <w:rPr>
          <w:rFonts w:hint="default" w:ascii="Times New Roman" w:hAnsi="Times New Roman" w:cs="Times New Roman"/>
          <w:sz w:val="36"/>
          <w:szCs w:val="36"/>
          <w:lang w:val="en-US"/>
        </w:rPr>
      </w:pPr>
    </w:p>
    <w:p>
      <w:pPr>
        <w:rPr>
          <w:rFonts w:hint="default" w:ascii="Times New Roman" w:hAnsi="Times New Roman" w:cs="Times New Roman"/>
          <w:lang w:val="en-US"/>
        </w:rPr>
      </w:pPr>
    </w:p>
    <w:p>
      <w:pPr>
        <w:pStyle w:val="2"/>
        <w:rPr>
          <w:rFonts w:hint="default"/>
          <w:lang w:val="en-US"/>
        </w:rPr>
      </w:pPr>
      <w:bookmarkStart w:id="0" w:name="_GoBack"/>
      <w:bookmarkEnd w:id="0"/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ind w:firstLine="420" w:firstLineChars="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Va informam ca zilele de 24 si 31 decembrie 2018 au fost stabilite de guvern zile nelucratoare , urmand sa fie recuperate in luna ianuarie 2019 .</w:t>
      </w:r>
    </w:p>
    <w:p>
      <w:pPr>
        <w:pStyle w:val="2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In zilele de 27 si 28 decembrie instituatia noastra va avea program normal de lucru, activitatea institutiei UAT Nojorid va fi reluata in data de 03.01.2019.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pStyle w:val="2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            PRIMAR</w:t>
      </w:r>
    </w:p>
    <w:p>
      <w:pPr>
        <w:pStyle w:val="2"/>
        <w:ind w:firstLine="3220" w:firstLineChars="115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BABA PETRU TEODOR </w:t>
      </w:r>
    </w:p>
    <w:sectPr>
      <w:pgSz w:w="11906" w:h="16838"/>
      <w:pgMar w:top="930" w:right="896" w:bottom="930" w:left="1463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OpenSymbol">
    <w:panose1 w:val="05010000000000000000"/>
    <w:charset w:val="00"/>
    <w:family w:val="auto"/>
    <w:pitch w:val="default"/>
    <w:sig w:usb0="800000AF" w:usb1="1001ECE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297634"/>
    <w:rsid w:val="03486D0A"/>
    <w:rsid w:val="472976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"/>
    <w:qFormat/>
    <w:uiPriority w:val="1"/>
    <w:pPr>
      <w:spacing w:after="0" w:line="240" w:lineRule="auto"/>
    </w:pPr>
    <w:rPr>
      <w:rFonts w:ascii="Times New Roman" w:hAnsi="Times New Roman" w:eastAsia="Calibri" w:cs="Times New Roman"/>
      <w:sz w:val="32"/>
      <w:szCs w:val="32"/>
      <w:lang w:val="ro-RO" w:eastAsia="en-US" w:bidi="ar-SA"/>
    </w:r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../NUL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Office_10.2.0.7587_F1E327BC-269C-435d-A152-05C5408002CA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2018-12-28T07:35:00Z</dcterms:created>
  <dc:creator>CONTA2</dc:creator>
  <cp:lastModifiedBy>CONTA2</cp:lastModifiedBy>
  <dcterms:modified xsi:type="dcterms:W3CDTF">2018-12-28T07:59:26Z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